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B577" w14:textId="77777777" w:rsidR="004F0F5D" w:rsidRPr="004F0F5D" w:rsidRDefault="004F0F5D" w:rsidP="004F0F5D">
      <w:pPr>
        <w:rPr>
          <w:b/>
          <w:bCs/>
        </w:rPr>
      </w:pPr>
      <w:r w:rsidRPr="004F0F5D">
        <w:rPr>
          <w:b/>
          <w:bCs/>
        </w:rPr>
        <w:t>Outcomes of Early Coronary Angiography or Revascularization After Cardiac Surgery</w:t>
      </w:r>
    </w:p>
    <w:p w14:paraId="611B4386" w14:textId="77777777" w:rsidR="00915CBA" w:rsidRDefault="00915CBA" w:rsidP="00915CBA">
      <w:r>
        <w:t>Outcomes of Early Coronary Angiography or Revascularization After Cardiac Surgery</w:t>
      </w:r>
    </w:p>
    <w:p w14:paraId="6DFA62F7" w14:textId="77777777" w:rsidR="00915CBA" w:rsidRDefault="00915CBA" w:rsidP="00915CBA">
      <w:r>
        <w:t xml:space="preserve">Vikram Sharma </w:t>
      </w:r>
      <w:r w:rsidRPr="005108B9">
        <w:rPr>
          <w:vertAlign w:val="superscript"/>
        </w:rPr>
        <w:t>1</w:t>
      </w:r>
      <w:r>
        <w:t>, Kevin Chen</w:t>
      </w:r>
      <w:r w:rsidRPr="005108B9">
        <w:rPr>
          <w:vertAlign w:val="superscript"/>
        </w:rPr>
        <w:t xml:space="preserve"> 2</w:t>
      </w:r>
      <w:r>
        <w:t xml:space="preserve">, Shehab A R </w:t>
      </w:r>
      <w:proofErr w:type="spellStart"/>
      <w:r>
        <w:t>Alansari</w:t>
      </w:r>
      <w:proofErr w:type="spellEnd"/>
      <w:r>
        <w:t xml:space="preserve"> </w:t>
      </w:r>
      <w:r w:rsidRPr="005108B9">
        <w:rPr>
          <w:vertAlign w:val="superscript"/>
        </w:rPr>
        <w:t>1</w:t>
      </w:r>
      <w:r>
        <w:t xml:space="preserve">, Beni Verma </w:t>
      </w:r>
      <w:r w:rsidRPr="005108B9">
        <w:rPr>
          <w:vertAlign w:val="superscript"/>
        </w:rPr>
        <w:t>1</w:t>
      </w:r>
      <w:r>
        <w:t xml:space="preserve">, Edward G </w:t>
      </w:r>
      <w:proofErr w:type="spellStart"/>
      <w:r>
        <w:t>Soltesz</w:t>
      </w:r>
      <w:proofErr w:type="spellEnd"/>
      <w:r>
        <w:t xml:space="preserve"> </w:t>
      </w:r>
      <w:r w:rsidRPr="005108B9">
        <w:rPr>
          <w:vertAlign w:val="superscript"/>
        </w:rPr>
        <w:t>3</w:t>
      </w:r>
      <w:r>
        <w:t xml:space="preserve">, Douglas R Johnston </w:t>
      </w:r>
      <w:r w:rsidRPr="005108B9">
        <w:rPr>
          <w:vertAlign w:val="superscript"/>
        </w:rPr>
        <w:t>3</w:t>
      </w:r>
      <w:r>
        <w:t xml:space="preserve">, Michael Zhen-Yu Tong </w:t>
      </w:r>
      <w:r w:rsidRPr="005108B9">
        <w:rPr>
          <w:vertAlign w:val="superscript"/>
        </w:rPr>
        <w:t>3</w:t>
      </w:r>
      <w:r>
        <w:t xml:space="preserve">, Eric E </w:t>
      </w:r>
      <w:proofErr w:type="spellStart"/>
      <w:r>
        <w:t>Roselli</w:t>
      </w:r>
      <w:proofErr w:type="spellEnd"/>
      <w:r>
        <w:t xml:space="preserve"> </w:t>
      </w:r>
      <w:r w:rsidRPr="005108B9">
        <w:rPr>
          <w:vertAlign w:val="superscript"/>
        </w:rPr>
        <w:t>3</w:t>
      </w:r>
      <w:r>
        <w:t xml:space="preserve">, Per </w:t>
      </w:r>
      <w:proofErr w:type="spellStart"/>
      <w:r>
        <w:t>Wierup</w:t>
      </w:r>
      <w:proofErr w:type="spellEnd"/>
      <w:r w:rsidRPr="005108B9">
        <w:rPr>
          <w:vertAlign w:val="superscript"/>
        </w:rPr>
        <w:t xml:space="preserve"> 3</w:t>
      </w:r>
      <w:r>
        <w:t xml:space="preserve">, </w:t>
      </w:r>
      <w:proofErr w:type="spellStart"/>
      <w:r>
        <w:t>Gösta</w:t>
      </w:r>
      <w:proofErr w:type="spellEnd"/>
      <w:r>
        <w:t xml:space="preserve"> B </w:t>
      </w:r>
      <w:proofErr w:type="spellStart"/>
      <w:r>
        <w:t>Pettersson</w:t>
      </w:r>
      <w:proofErr w:type="spellEnd"/>
      <w:r>
        <w:t xml:space="preserve"> </w:t>
      </w:r>
      <w:r w:rsidRPr="005108B9">
        <w:rPr>
          <w:vertAlign w:val="superscript"/>
        </w:rPr>
        <w:t>3</w:t>
      </w:r>
      <w:r>
        <w:t xml:space="preserve">, A Marc </w:t>
      </w:r>
      <w:proofErr w:type="spellStart"/>
      <w:r>
        <w:t>Gillinov</w:t>
      </w:r>
      <w:proofErr w:type="spellEnd"/>
      <w:r>
        <w:t xml:space="preserve"> </w:t>
      </w:r>
      <w:r w:rsidRPr="005108B9">
        <w:rPr>
          <w:vertAlign w:val="superscript"/>
        </w:rPr>
        <w:t>3</w:t>
      </w:r>
      <w:r>
        <w:t xml:space="preserve">, Stephen G Ellis </w:t>
      </w:r>
      <w:r w:rsidRPr="005108B9">
        <w:rPr>
          <w:vertAlign w:val="superscript"/>
        </w:rPr>
        <w:t>4</w:t>
      </w:r>
      <w:r>
        <w:t xml:space="preserve">, Conrad </w:t>
      </w:r>
      <w:proofErr w:type="spellStart"/>
      <w:r>
        <w:t>Simpfendorfer</w:t>
      </w:r>
      <w:proofErr w:type="spellEnd"/>
      <w:r>
        <w:t xml:space="preserve"> </w:t>
      </w:r>
      <w:r w:rsidRPr="005108B9">
        <w:rPr>
          <w:vertAlign w:val="superscript"/>
        </w:rPr>
        <w:t>4</w:t>
      </w:r>
      <w:r>
        <w:t xml:space="preserve">, Eugene H Blackstone </w:t>
      </w:r>
      <w:r w:rsidRPr="005108B9">
        <w:rPr>
          <w:vertAlign w:val="superscript"/>
        </w:rPr>
        <w:t>5</w:t>
      </w:r>
      <w:r>
        <w:t xml:space="preserve">, Samir Kapadia </w:t>
      </w:r>
      <w:r w:rsidRPr="005108B9">
        <w:rPr>
          <w:vertAlign w:val="superscript"/>
        </w:rPr>
        <w:t>4</w:t>
      </w:r>
      <w:r>
        <w:t xml:space="preserve">, Lars G </w:t>
      </w:r>
      <w:proofErr w:type="spellStart"/>
      <w:r>
        <w:t>Svensson</w:t>
      </w:r>
      <w:proofErr w:type="spellEnd"/>
      <w:r w:rsidRPr="005108B9">
        <w:rPr>
          <w:vertAlign w:val="superscript"/>
        </w:rPr>
        <w:t xml:space="preserve"> 3</w:t>
      </w:r>
      <w:r>
        <w:t xml:space="preserve">, Faisal G </w:t>
      </w:r>
      <w:proofErr w:type="spellStart"/>
      <w:r>
        <w:t>Bakaeen</w:t>
      </w:r>
      <w:proofErr w:type="spellEnd"/>
      <w:r>
        <w:t xml:space="preserve"> </w:t>
      </w:r>
      <w:r w:rsidRPr="005108B9">
        <w:rPr>
          <w:vertAlign w:val="superscript"/>
        </w:rPr>
        <w:t>6</w:t>
      </w:r>
    </w:p>
    <w:p w14:paraId="35FBE268" w14:textId="77777777" w:rsidR="00915CBA" w:rsidRDefault="00915CBA" w:rsidP="00915CBA">
      <w:r>
        <w:t>Affiliations</w:t>
      </w:r>
    </w:p>
    <w:p w14:paraId="1B297EC2" w14:textId="3B90DAEE" w:rsidR="00915CBA" w:rsidRDefault="00915CBA" w:rsidP="00B219A1">
      <w:pPr>
        <w:pStyle w:val="ListParagraph"/>
        <w:numPr>
          <w:ilvl w:val="0"/>
          <w:numId w:val="1"/>
        </w:numPr>
      </w:pPr>
      <w:r>
        <w:t>Department of Hospital Medicine, Cleveland Clinic, Cleveland, Ohio.</w:t>
      </w:r>
    </w:p>
    <w:p w14:paraId="21F09D30" w14:textId="3F2BB03B" w:rsidR="00915CBA" w:rsidRDefault="00915CBA" w:rsidP="00B219A1">
      <w:pPr>
        <w:pStyle w:val="ListParagraph"/>
        <w:numPr>
          <w:ilvl w:val="0"/>
          <w:numId w:val="1"/>
        </w:numPr>
      </w:pPr>
      <w:r>
        <w:t>Department of Internal Medicine, Cleveland Clinic, Cleveland, Ohio.</w:t>
      </w:r>
    </w:p>
    <w:p w14:paraId="26CB0392" w14:textId="0A14A420" w:rsidR="00915CBA" w:rsidRDefault="00915CBA" w:rsidP="00B219A1">
      <w:pPr>
        <w:pStyle w:val="ListParagraph"/>
        <w:numPr>
          <w:ilvl w:val="0"/>
          <w:numId w:val="1"/>
        </w:numPr>
      </w:pPr>
      <w:r>
        <w:t>Department of Thoracic and Cardiovascular Surgery, Cleveland Clinic, Cleveland, Ohio.</w:t>
      </w:r>
    </w:p>
    <w:p w14:paraId="5554B64E" w14:textId="54E90730" w:rsidR="00915CBA" w:rsidRDefault="00915CBA" w:rsidP="00B219A1">
      <w:pPr>
        <w:pStyle w:val="ListParagraph"/>
        <w:numPr>
          <w:ilvl w:val="0"/>
          <w:numId w:val="1"/>
        </w:numPr>
      </w:pPr>
      <w:r>
        <w:t>Department of Cardiovascular Medicine, Cleveland Clinic, Cleveland, Ohio.</w:t>
      </w:r>
    </w:p>
    <w:p w14:paraId="2DE2A601" w14:textId="0AC592AF" w:rsidR="00915CBA" w:rsidRDefault="00915CBA" w:rsidP="00B219A1">
      <w:pPr>
        <w:pStyle w:val="ListParagraph"/>
        <w:numPr>
          <w:ilvl w:val="0"/>
          <w:numId w:val="1"/>
        </w:numPr>
      </w:pPr>
      <w:r>
        <w:t>Department of Thoracic and Cardiovascular Surgery, Cleveland Clinic, Cleveland, Ohio; Department of Quantitative Health Sciences, Cleveland Clinic, Cleveland, Ohio.</w:t>
      </w:r>
    </w:p>
    <w:p w14:paraId="6B073BC5" w14:textId="5898F9AC" w:rsidR="00915CBA" w:rsidRDefault="00915CBA" w:rsidP="00B219A1">
      <w:pPr>
        <w:pStyle w:val="ListParagraph"/>
        <w:numPr>
          <w:ilvl w:val="0"/>
          <w:numId w:val="1"/>
        </w:numPr>
      </w:pPr>
      <w:r>
        <w:t>Department of Thoracic and Cardiovascular Surgery, Cleveland Clinic, Cleveland, Ohio. Electronic address: bakaeef@ccf.org.</w:t>
      </w:r>
    </w:p>
    <w:p w14:paraId="73B0FB43" w14:textId="77777777" w:rsidR="004F0F5D" w:rsidRDefault="004F0F5D" w:rsidP="004F0F5D">
      <w:r>
        <w:t>Background: Early coronary ischemic events are uncommon after cardiac surgery, with little known about their management or associated outcomes. We evaluated clinical outcomes of patients undergoing coronary angiography ± percutaneous coronary intervention or redo coronary artery bypass grafting for suspected coronary ischemia within 3 weeks after index cardiac surgery.</w:t>
      </w:r>
    </w:p>
    <w:p w14:paraId="67A43A11" w14:textId="77777777" w:rsidR="004F0F5D" w:rsidRDefault="004F0F5D" w:rsidP="004F0F5D"/>
    <w:p w14:paraId="22547A6A" w14:textId="77777777" w:rsidR="004F0F5D" w:rsidRDefault="004F0F5D" w:rsidP="004F0F5D">
      <w:r>
        <w:t>Methods: This is a retrospective observational study based on data from 53,287 patients who underwent cardiac surgery at our institution (1996-2017); 180 patients (0.34%) satisfied the inclusion criteria. The primary outcome was 1-year all-cause mortality. Statistical evaluation involved χ2, analysis of variance, Kaplan-Meier, and receiver operating characteristic curve analyses.</w:t>
      </w:r>
    </w:p>
    <w:p w14:paraId="1DE8FEFD" w14:textId="77777777" w:rsidR="004F0F5D" w:rsidRDefault="004F0F5D" w:rsidP="004F0F5D"/>
    <w:p w14:paraId="0E8AF885" w14:textId="77777777" w:rsidR="004F0F5D" w:rsidRDefault="004F0F5D" w:rsidP="004F0F5D">
      <w:r>
        <w:t>Results: Most coronary angiography ± percutaneous coronary intervention and redo coronary artery bypass grafting procedures occurred in the first 2 weeks after index cardiac surgery. Patients presenting with ST elevation myocardial infarction (STEMI)/non-STEMI had the lowest 1-year mortality (13.5%), followed by patients with ventricular tachycardia/fibrillation (28.1%), and patients with non-ventricular tachycardia/fibrillation arrest or hemodynamic instability alone the worst (38.6%) (χ2 = 17.3, P = .001). Peak troponin T level after cardiac surgery was strongly predictive of 1-year mortality (area under the curve, 0.74; 95% confidence interval, 0.65-0.84; P &lt; .001) but did not predict the presence of coronary compromise. For acute graft failure, 1-year mortality was better with percutaneous coronary intervention (18.2%) than redo coronary artery bypass grafting (23.5%) or no indicated/feasible intervention (29.2%).</w:t>
      </w:r>
    </w:p>
    <w:p w14:paraId="046CBA2C" w14:textId="77777777" w:rsidR="004F0F5D" w:rsidRDefault="004F0F5D" w:rsidP="004F0F5D"/>
    <w:p w14:paraId="38A45753" w14:textId="44FF6476" w:rsidR="00ED2EE0" w:rsidRDefault="004F0F5D" w:rsidP="004F0F5D">
      <w:r>
        <w:t xml:space="preserve">Conclusions: Although suspected myocardial ischemia requiring coronary angiography or intervention early after cardiac surgery was rare, mortality was high, particularly in presentations other than </w:t>
      </w:r>
      <w:r>
        <w:lastRenderedPageBreak/>
        <w:t>STEMI/non-STEMI. In patients with overt signs and symptoms of myocardial ischemia after index cardiac surgery, troponin T was not a reliable marker of underlying coronary or graft obstruction but was a robust predictor of 1-year mortality.</w:t>
      </w:r>
    </w:p>
    <w:p w14:paraId="5C8F27D9" w14:textId="1F334C11" w:rsidR="00E05727" w:rsidRDefault="00343200" w:rsidP="004F0F5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F265BB" wp14:editId="7E0C02B2">
            <wp:simplePos x="0" y="0"/>
            <wp:positionH relativeFrom="margin">
              <wp:posOffset>-41910</wp:posOffset>
            </wp:positionH>
            <wp:positionV relativeFrom="paragraph">
              <wp:posOffset>1084580</wp:posOffset>
            </wp:positionV>
            <wp:extent cx="5841365" cy="41922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419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727" w:rsidRPr="00343200">
        <w:rPr>
          <w:b/>
          <w:bCs/>
        </w:rPr>
        <w:t>Fig 1.</w:t>
      </w:r>
      <w:r w:rsidR="00E05727">
        <w:t xml:space="preserve"> </w:t>
      </w:r>
      <w:r w:rsidR="00095C33" w:rsidRPr="00095C33">
        <w:t>Kaplan-Meier curves showing better survival in patients with ST elevation myocardial infarction (STEMI)/non-STEMI (NSTEMI</w:t>
      </w:r>
      <w:proofErr w:type="gramStart"/>
      <w:r w:rsidR="00095C33" w:rsidRPr="00095C33">
        <w:t>)</w:t>
      </w:r>
      <w:proofErr w:type="gramEnd"/>
      <w:r w:rsidR="00095C33" w:rsidRPr="00095C33">
        <w:t xml:space="preserve"> or ventricular tachycardia (VT)/ventricular fibrillation (VF) arrest compared with non-VT/VF arrest or hemodynamic instability (HI) alone when undergoing coronary angiography and/or revascularization for a suspected ischemic event within 3 weeks after open heart surgery. (CABG, coronary artery bypass grafting.)</w:t>
      </w:r>
    </w:p>
    <w:p w14:paraId="700B4F77" w14:textId="64F8286A" w:rsidR="00E05727" w:rsidRDefault="00E05727" w:rsidP="004F0F5D"/>
    <w:p w14:paraId="072C1177" w14:textId="271FECFF" w:rsidR="00343200" w:rsidRDefault="00E05727" w:rsidP="00343200">
      <w:r>
        <w:rPr>
          <w:noProof/>
        </w:rPr>
        <mc:AlternateContent>
          <mc:Choice Requires="wps">
            <w:drawing>
              <wp:inline distT="0" distB="0" distL="0" distR="0" wp14:anchorId="66CA13C6" wp14:editId="18A2668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D2A3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EB81EB3" w14:textId="4BFFB820" w:rsidR="00343200" w:rsidRDefault="00343200" w:rsidP="00343200">
      <w:r>
        <w:t xml:space="preserve">Published: </w:t>
      </w:r>
    </w:p>
    <w:p w14:paraId="080B3197" w14:textId="44466377" w:rsidR="00343200" w:rsidRDefault="00343200" w:rsidP="00343200">
      <w:r>
        <w:t>Outcomes of Early Coronary Angiography or Revascularization After Cardiac Surgery. The Annals of Thoracic Surgery Volume 111, Issue 5, May 2021, Pages 1494-1501</w:t>
      </w:r>
    </w:p>
    <w:p w14:paraId="307A1D83" w14:textId="77777777" w:rsidR="00343200" w:rsidRDefault="00343200" w:rsidP="00343200">
      <w:r>
        <w:t>Presented at the Poster Session of the Fifty-sixth Annual Meeting of The Society of Thoracic Surgeons, New Orleans, LA, Jan 25-28, 2020.</w:t>
      </w:r>
    </w:p>
    <w:p w14:paraId="4AC14BE7" w14:textId="5B62A565" w:rsidR="00E05727" w:rsidRDefault="00E05727" w:rsidP="00343200"/>
    <w:sectPr w:rsidR="00E0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62F9B"/>
    <w:multiLevelType w:val="hybridMultilevel"/>
    <w:tmpl w:val="F4DA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D"/>
    <w:rsid w:val="00095C33"/>
    <w:rsid w:val="001863C1"/>
    <w:rsid w:val="00343200"/>
    <w:rsid w:val="004F0F5D"/>
    <w:rsid w:val="005108B9"/>
    <w:rsid w:val="005442F1"/>
    <w:rsid w:val="00915CBA"/>
    <w:rsid w:val="00B219A1"/>
    <w:rsid w:val="00C41A97"/>
    <w:rsid w:val="00C65105"/>
    <w:rsid w:val="00E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D71B"/>
  <w15:chartTrackingRefBased/>
  <w15:docId w15:val="{B52E5D53-1820-4672-9114-E3EC3A3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F20F2C1476B4888F56360425CF096" ma:contentTypeVersion="4" ma:contentTypeDescription="Create a new document." ma:contentTypeScope="" ma:versionID="461d859ae28906186161877d37c75835">
  <xsd:schema xmlns:xsd="http://www.w3.org/2001/XMLSchema" xmlns:xs="http://www.w3.org/2001/XMLSchema" xmlns:p="http://schemas.microsoft.com/office/2006/metadata/properties" xmlns:ns3="fa4ba719-b3c9-4da2-a830-233cdefa3424" targetNamespace="http://schemas.microsoft.com/office/2006/metadata/properties" ma:root="true" ma:fieldsID="204e9dac97742058cd2eb215723e153c" ns3:_="">
    <xsd:import namespace="fa4ba719-b3c9-4da2-a830-233cdefa3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a719-b3c9-4da2-a830-233cdefa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43F80-1C96-4AD0-9F7C-29E65BAA3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a719-b3c9-4da2-a830-233cdefa3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C438B-6AC0-41F1-B459-53E29D4E7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F4DE0-ECDE-434F-825A-600155523A9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fa4ba719-b3c9-4da2-a830-233cdefa3424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Vikram</dc:creator>
  <cp:keywords/>
  <dc:description/>
  <cp:lastModifiedBy>Sharma, Vikram</cp:lastModifiedBy>
  <cp:revision>2</cp:revision>
  <dcterms:created xsi:type="dcterms:W3CDTF">2021-10-16T15:02:00Z</dcterms:created>
  <dcterms:modified xsi:type="dcterms:W3CDTF">2021-10-16T15:02:00Z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0x010100E12F20F2C1476B4888F56360425CF096</vt:lpwstr>
  </property>
</Properties>
</file>